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4"/>
        <w:tblW w:w="11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465"/>
        <w:gridCol w:w="1890"/>
        <w:gridCol w:w="1303"/>
        <w:gridCol w:w="2837"/>
        <w:gridCol w:w="1530"/>
        <w:gridCol w:w="1134"/>
      </w:tblGrid>
      <w:tr w:rsidR="00534CBD" w:rsidRPr="00816992" w:rsidTr="00E76BA2">
        <w:trPr>
          <w:trHeight w:val="840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Nr. Rendor</w:t>
            </w:r>
          </w:p>
        </w:tc>
        <w:tc>
          <w:tcPr>
            <w:tcW w:w="1465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Data e 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r w:rsid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81699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890" w:type="dxa"/>
          </w:tcPr>
          <w:p w:rsidR="0046767D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Objekti</w:t>
            </w:r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i</w:t>
            </w:r>
            <w:r w:rsidR="0046767D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  <w:r w:rsidR="00422C28" w:rsidRPr="00816992">
              <w:rPr>
                <w:rFonts w:ascii="Times New Roman" w:hAnsi="Times New Roman" w:cs="Times New Roman"/>
                <w:b/>
              </w:rPr>
              <w:t>/</w:t>
            </w:r>
          </w:p>
          <w:p w:rsidR="00CE4F32" w:rsidRPr="00816992" w:rsidRDefault="00422C28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ankes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303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Data e 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rgjigjes</w:t>
            </w:r>
          </w:p>
        </w:tc>
        <w:tc>
          <w:tcPr>
            <w:tcW w:w="2837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rgjigje</w:t>
            </w:r>
          </w:p>
        </w:tc>
        <w:tc>
          <w:tcPr>
            <w:tcW w:w="153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M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nyra e p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rfundimit</w:t>
            </w:r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t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="00B53AD1">
              <w:rPr>
                <w:rFonts w:ascii="Times New Roman" w:hAnsi="Times New Roman" w:cs="Times New Roman"/>
                <w:b/>
              </w:rPr>
              <w:t xml:space="preserve"> </w:t>
            </w:r>
            <w:r w:rsidRPr="00816992">
              <w:rPr>
                <w:rFonts w:ascii="Times New Roman" w:hAnsi="Times New Roman" w:cs="Times New Roman"/>
                <w:b/>
              </w:rPr>
              <w:t>k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rkes</w:t>
            </w:r>
            <w:r w:rsidR="00534544">
              <w:rPr>
                <w:rFonts w:ascii="Times New Roman" w:hAnsi="Times New Roman" w:cs="Times New Roman"/>
                <w:b/>
              </w:rPr>
              <w:t>e</w:t>
            </w:r>
            <w:r w:rsidRPr="00816992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134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16992">
              <w:rPr>
                <w:rFonts w:ascii="Times New Roman" w:hAnsi="Times New Roman" w:cs="Times New Roman"/>
                <w:b/>
              </w:rPr>
              <w:t>Tarifa</w:t>
            </w:r>
          </w:p>
        </w:tc>
      </w:tr>
      <w:tr w:rsidR="00534CBD" w:rsidRPr="00816992" w:rsidTr="00E76BA2">
        <w:trPr>
          <w:trHeight w:val="2026"/>
        </w:trPr>
        <w:tc>
          <w:tcPr>
            <w:tcW w:w="1320" w:type="dxa"/>
          </w:tcPr>
          <w:p w:rsidR="00CE4F32" w:rsidRPr="00816992" w:rsidRDefault="00CE4F32" w:rsidP="00643E28">
            <w:pPr>
              <w:spacing w:after="0"/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1</w:t>
            </w:r>
            <w:r w:rsidR="007D2D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5C6823" w:rsidP="00CF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890" w:type="dxa"/>
          </w:tcPr>
          <w:p w:rsidR="002F5CC6" w:rsidRPr="00A978F8" w:rsidRDefault="005C6823" w:rsidP="0063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paraqitur nga Ministria e Dr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ejt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, sa i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rket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 xml:space="preserve"> shtetasit H.U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r v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nien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 xml:space="preserve"> ekzekutim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 xml:space="preserve"> titulli ekzekutiv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3631B">
              <w:rPr>
                <w:rFonts w:ascii="Times New Roman" w:hAnsi="Times New Roman" w:cs="Times New Roman"/>
                <w:sz w:val="24"/>
                <w:szCs w:val="24"/>
              </w:rPr>
              <w:t>rmbarimore Elbasan.</w:t>
            </w:r>
          </w:p>
        </w:tc>
        <w:tc>
          <w:tcPr>
            <w:tcW w:w="1303" w:type="dxa"/>
          </w:tcPr>
          <w:p w:rsidR="00CE4F32" w:rsidRPr="00A978F8" w:rsidRDefault="005C6823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837" w:type="dxa"/>
          </w:tcPr>
          <w:p w:rsidR="001570E2" w:rsidRPr="00A978F8" w:rsidRDefault="0063631B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 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rmbarimit, pasi u mor informacion zyratr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Elbasan ju komunikua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rkuesit dhe Ministris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vendimi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duhet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plot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sohen kriteret ligjore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rcaktuara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dispozitat e Kodit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Procedur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Civile.</w:t>
            </w:r>
          </w:p>
        </w:tc>
        <w:tc>
          <w:tcPr>
            <w:tcW w:w="1530" w:type="dxa"/>
          </w:tcPr>
          <w:p w:rsidR="00CE4F32" w:rsidRPr="00816992" w:rsidRDefault="004E576B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CE4F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E76BA2">
        <w:trPr>
          <w:trHeight w:val="3698"/>
        </w:trPr>
        <w:tc>
          <w:tcPr>
            <w:tcW w:w="1320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5" w:type="dxa"/>
          </w:tcPr>
          <w:p w:rsidR="00CE4F32" w:rsidRPr="00C6643F" w:rsidRDefault="0063631B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890" w:type="dxa"/>
          </w:tcPr>
          <w:p w:rsidR="00CE4F32" w:rsidRPr="00A978F8" w:rsidRDefault="0063631B" w:rsidP="00636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paraqitur nga Ministria e Drejt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 i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rket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shtetasit Ç.Z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titulli ekzekutiv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Elbasan.</w:t>
            </w:r>
          </w:p>
        </w:tc>
        <w:tc>
          <w:tcPr>
            <w:tcW w:w="1303" w:type="dxa"/>
          </w:tcPr>
          <w:p w:rsidR="00CE4F32" w:rsidRPr="00A978F8" w:rsidRDefault="0063631B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837" w:type="dxa"/>
          </w:tcPr>
          <w:p w:rsidR="00D45D55" w:rsidRPr="00A978F8" w:rsidRDefault="0063631B" w:rsidP="00AB5DCD">
            <w:pPr>
              <w:pStyle w:val="NormalWeb"/>
              <w:spacing w:before="0" w:beforeAutospacing="0" w:after="0" w:afterAutospacing="0"/>
              <w:jc w:val="both"/>
            </w:pPr>
            <w:r>
              <w:t>Nga Drejtoria e P</w:t>
            </w:r>
            <w:r w:rsidR="007A2D13">
              <w:t>ë</w:t>
            </w:r>
            <w:r>
              <w:t>rgithshme e P</w:t>
            </w:r>
            <w:r w:rsidR="007A2D13">
              <w:t>ë</w:t>
            </w:r>
            <w:r>
              <w:t>rmbarimit, pasi u mor informacion zyratr nga Zyra P</w:t>
            </w:r>
            <w:r w:rsidR="007A2D13">
              <w:t>ë</w:t>
            </w:r>
            <w:r>
              <w:t>rmbarimore Elbasan ju komunikua k</w:t>
            </w:r>
            <w:r w:rsidR="007A2D13">
              <w:t>ë</w:t>
            </w:r>
            <w:r>
              <w:t>rkuesit dhe Ministris</w:t>
            </w:r>
            <w:r w:rsidR="007A2D13">
              <w:t>ë</w:t>
            </w:r>
            <w:r>
              <w:t xml:space="preserve"> s</w:t>
            </w:r>
            <w:r w:rsidR="007A2D13">
              <w:t>ë</w:t>
            </w:r>
            <w:r>
              <w:t xml:space="preserve"> Drejt</w:t>
            </w:r>
            <w:r w:rsidR="007A2D13">
              <w:t>ë</w:t>
            </w:r>
            <w:r>
              <w:t>sis</w:t>
            </w:r>
            <w:r w:rsidR="007A2D13">
              <w:t>ë</w:t>
            </w:r>
            <w:r>
              <w:t xml:space="preserve"> se p</w:t>
            </w:r>
            <w:r w:rsidR="007A2D13">
              <w:t>ë</w:t>
            </w:r>
            <w:r>
              <w:t>r v</w:t>
            </w:r>
            <w:r w:rsidR="007A2D13">
              <w:t>ë</w:t>
            </w:r>
            <w:r>
              <w:t>nien n</w:t>
            </w:r>
            <w:r w:rsidR="007A2D13">
              <w:t>ë</w:t>
            </w:r>
            <w:r>
              <w:t xml:space="preserve"> ekzekutim t</w:t>
            </w:r>
            <w:r w:rsidR="007A2D13">
              <w:t>ë</w:t>
            </w:r>
            <w:r>
              <w:t xml:space="preserve"> nj</w:t>
            </w:r>
            <w:r w:rsidR="007A2D13">
              <w:t>ë</w:t>
            </w:r>
            <w:r>
              <w:t xml:space="preserve"> vendimi gjyq</w:t>
            </w:r>
            <w:r w:rsidR="007A2D13">
              <w:t>ë</w:t>
            </w:r>
            <w:r>
              <w:t>sor duhet t</w:t>
            </w:r>
            <w:r w:rsidR="007A2D13">
              <w:t>ë</w:t>
            </w:r>
            <w:r>
              <w:t xml:space="preserve"> plot</w:t>
            </w:r>
            <w:r w:rsidR="007A2D13">
              <w:t>ë</w:t>
            </w:r>
            <w:r>
              <w:t>sohen kriteret ligjore t</w:t>
            </w:r>
            <w:r w:rsidR="007A2D13">
              <w:t>ë</w:t>
            </w:r>
            <w:r>
              <w:t xml:space="preserve"> p</w:t>
            </w:r>
            <w:r w:rsidR="007A2D13">
              <w:t>ë</w:t>
            </w:r>
            <w:r>
              <w:t>rcaktuara n</w:t>
            </w:r>
            <w:r w:rsidR="007A2D13">
              <w:t>ë</w:t>
            </w:r>
            <w:r>
              <w:t xml:space="preserve"> dispozitat e Kodit t</w:t>
            </w:r>
            <w:r w:rsidR="007A2D13">
              <w:t>ë</w:t>
            </w:r>
            <w:r>
              <w:t xml:space="preserve"> Procedur</w:t>
            </w:r>
            <w:r w:rsidR="007A2D13">
              <w:t>ë</w:t>
            </w:r>
            <w:r>
              <w:t>s Civile.</w:t>
            </w:r>
          </w:p>
        </w:tc>
        <w:tc>
          <w:tcPr>
            <w:tcW w:w="1530" w:type="dxa"/>
          </w:tcPr>
          <w:p w:rsidR="00CE4F32" w:rsidRPr="00816992" w:rsidRDefault="00C50AF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8A74E0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E76BA2">
        <w:trPr>
          <w:trHeight w:val="3946"/>
        </w:trPr>
        <w:tc>
          <w:tcPr>
            <w:tcW w:w="1320" w:type="dxa"/>
          </w:tcPr>
          <w:p w:rsidR="00CE4F32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3</w:t>
            </w:r>
            <w:r w:rsidR="006330A4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E4F32" w:rsidRPr="00C6643F" w:rsidRDefault="0063631B" w:rsidP="007A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890" w:type="dxa"/>
          </w:tcPr>
          <w:p w:rsidR="00DB084E" w:rsidRPr="00A978F8" w:rsidRDefault="0063631B" w:rsidP="00DB0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Prokuroria e Rrethit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Durr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EF73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F7391">
              <w:rPr>
                <w:rFonts w:ascii="Times New Roman" w:hAnsi="Times New Roman" w:cs="Times New Roman"/>
                <w:sz w:val="24"/>
                <w:szCs w:val="24"/>
              </w:rPr>
              <w:t>r kalim fondesh</w:t>
            </w:r>
          </w:p>
        </w:tc>
        <w:tc>
          <w:tcPr>
            <w:tcW w:w="1303" w:type="dxa"/>
          </w:tcPr>
          <w:p w:rsidR="00CE4F32" w:rsidRPr="00A978F8" w:rsidRDefault="00EF739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837" w:type="dxa"/>
          </w:tcPr>
          <w:p w:rsidR="00560B0D" w:rsidRPr="00A978F8" w:rsidRDefault="00EF7391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kthyer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instsitucionit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i b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se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Durr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ka ekzekutuar detyrimin dhe ky detyrim ka kaluar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Buxhetin e Shtetit sipas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rcaktimeve ligjore.</w:t>
            </w:r>
          </w:p>
        </w:tc>
        <w:tc>
          <w:tcPr>
            <w:tcW w:w="1530" w:type="dxa"/>
          </w:tcPr>
          <w:p w:rsidR="00CE4F32" w:rsidRPr="00816992" w:rsidRDefault="008C4E0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E4F32" w:rsidRPr="00816992" w:rsidRDefault="008F6A32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E76BA2">
        <w:trPr>
          <w:trHeight w:val="5152"/>
        </w:trPr>
        <w:tc>
          <w:tcPr>
            <w:tcW w:w="1320" w:type="dxa"/>
          </w:tcPr>
          <w:p w:rsidR="00C9323E" w:rsidRPr="00816992" w:rsidRDefault="00AB774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4</w:t>
            </w:r>
            <w:r w:rsidR="00C9323E" w:rsidRPr="008169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C9323E" w:rsidRPr="00C6643F" w:rsidRDefault="00263CE1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04.08.2025</w:t>
            </w:r>
          </w:p>
        </w:tc>
        <w:tc>
          <w:tcPr>
            <w:tcW w:w="1890" w:type="dxa"/>
          </w:tcPr>
          <w:p w:rsidR="002F5CC6" w:rsidRPr="00A978F8" w:rsidRDefault="00263CE1" w:rsidP="00F06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 E.N drejtuar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Vlor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dijeni Drejtoris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r w:rsidR="00DD1207">
              <w:rPr>
                <w:rFonts w:ascii="Times New Roman" w:hAnsi="Times New Roman" w:cs="Times New Roman"/>
                <w:sz w:val="24"/>
                <w:szCs w:val="24"/>
              </w:rPr>
              <w:t>, mbi ndyrshimin e ekspertit psikolog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1207">
              <w:rPr>
                <w:rFonts w:ascii="Times New Roman" w:hAnsi="Times New Roman" w:cs="Times New Roman"/>
                <w:sz w:val="24"/>
                <w:szCs w:val="24"/>
              </w:rPr>
              <w:t xml:space="preserve"> caktuar nga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1207"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1207">
              <w:rPr>
                <w:rFonts w:ascii="Times New Roman" w:hAnsi="Times New Roman" w:cs="Times New Roman"/>
                <w:sz w:val="24"/>
                <w:szCs w:val="24"/>
              </w:rPr>
              <w:t>sor i ngarkuar me ç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D1207">
              <w:rPr>
                <w:rFonts w:ascii="Times New Roman" w:hAnsi="Times New Roman" w:cs="Times New Roman"/>
                <w:sz w:val="24"/>
                <w:szCs w:val="24"/>
              </w:rPr>
              <w:t>shtjen</w:t>
            </w:r>
          </w:p>
        </w:tc>
        <w:tc>
          <w:tcPr>
            <w:tcW w:w="1303" w:type="dxa"/>
          </w:tcPr>
          <w:p w:rsidR="00C9323E" w:rsidRPr="00A978F8" w:rsidRDefault="00DD120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837" w:type="dxa"/>
          </w:tcPr>
          <w:p w:rsidR="00F06F31" w:rsidRPr="00A978F8" w:rsidRDefault="00DD1207" w:rsidP="00ED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Vlor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duke v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dijeni dhe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rkuesen,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kushtet kur zyrat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jan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institucionet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ngarkuara nga ligji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vendimeve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C9323E" w:rsidRPr="00816992" w:rsidRDefault="003A2169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C9323E" w:rsidRPr="00816992" w:rsidRDefault="00C9323E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E76BA2">
        <w:trPr>
          <w:trHeight w:val="2042"/>
        </w:trPr>
        <w:tc>
          <w:tcPr>
            <w:tcW w:w="1320" w:type="dxa"/>
          </w:tcPr>
          <w:p w:rsidR="009959BB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9959BB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913AD" w:rsidRPr="00C6643F" w:rsidRDefault="00DD1207" w:rsidP="00D574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04.08.2025</w:t>
            </w:r>
          </w:p>
        </w:tc>
        <w:tc>
          <w:tcPr>
            <w:tcW w:w="1890" w:type="dxa"/>
          </w:tcPr>
          <w:p w:rsidR="00932FC5" w:rsidRPr="00A978F8" w:rsidRDefault="00DD120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informacion e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nga Kolegji Zgjedhor n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lidhje me dy tituj ekzekutiv, n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 k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 t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fundit jan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regjistruar pran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Zyrave t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rbimit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 Gjyq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 Shtet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ror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ekzekutim.</w:t>
            </w:r>
          </w:p>
        </w:tc>
        <w:tc>
          <w:tcPr>
            <w:tcW w:w="1303" w:type="dxa"/>
          </w:tcPr>
          <w:p w:rsidR="009959BB" w:rsidRPr="00A978F8" w:rsidRDefault="00DD120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06.08.2025</w:t>
            </w:r>
          </w:p>
        </w:tc>
        <w:tc>
          <w:tcPr>
            <w:tcW w:w="2837" w:type="dxa"/>
          </w:tcPr>
          <w:p w:rsidR="009959BB" w:rsidRPr="00A978F8" w:rsidRDefault="00DD1207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rcjelljes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informacionit elektornikisht nga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Zyrat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rmbarimore, 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kthyer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rkuesit duke i b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se asnj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tituj ekzekutiv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cituar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e tyre nuk 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regjistruar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Zyrave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rbimit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Shtet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ror.</w:t>
            </w:r>
          </w:p>
        </w:tc>
        <w:tc>
          <w:tcPr>
            <w:tcW w:w="1530" w:type="dxa"/>
          </w:tcPr>
          <w:p w:rsidR="009959BB" w:rsidRPr="00816992" w:rsidRDefault="004E6EAD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Trajtuar</w:t>
            </w:r>
            <w:r w:rsidR="000C6396">
              <w:rPr>
                <w:rFonts w:ascii="Times New Roman" w:hAnsi="Times New Roman" w:cs="Times New Roman"/>
              </w:rPr>
              <w:t xml:space="preserve"> </w:t>
            </w:r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9959BB" w:rsidRPr="00816992" w:rsidRDefault="009959BB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34CBD" w:rsidRPr="00816992" w:rsidTr="00E76BA2">
        <w:trPr>
          <w:trHeight w:val="525"/>
        </w:trPr>
        <w:tc>
          <w:tcPr>
            <w:tcW w:w="1320" w:type="dxa"/>
          </w:tcPr>
          <w:p w:rsidR="00536CA5" w:rsidRPr="00816992" w:rsidRDefault="00E243D5" w:rsidP="00643E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99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36CA5" w:rsidRPr="008169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65" w:type="dxa"/>
          </w:tcPr>
          <w:p w:rsidR="00536CA5" w:rsidRPr="00C6643F" w:rsidRDefault="00DD1207" w:rsidP="00A200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06.08.2025</w:t>
            </w:r>
          </w:p>
        </w:tc>
        <w:tc>
          <w:tcPr>
            <w:tcW w:w="1890" w:type="dxa"/>
          </w:tcPr>
          <w:p w:rsidR="00932FC5" w:rsidRPr="00A978F8" w:rsidRDefault="00DD120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heqje sekuestro nga shtetasi P.LL drejtuar Zyr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 Lezh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dhe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dijeni Drejtoris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rmbarimit.</w:t>
            </w:r>
          </w:p>
        </w:tc>
        <w:tc>
          <w:tcPr>
            <w:tcW w:w="1303" w:type="dxa"/>
          </w:tcPr>
          <w:p w:rsidR="00536CA5" w:rsidRPr="00A978F8" w:rsidRDefault="00DD120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06.08.2025</w:t>
            </w:r>
          </w:p>
        </w:tc>
        <w:tc>
          <w:tcPr>
            <w:tcW w:w="2837" w:type="dxa"/>
          </w:tcPr>
          <w:p w:rsidR="00C34198" w:rsidRPr="00A978F8" w:rsidRDefault="00DD1207" w:rsidP="00DD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Lezh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duke v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dijeni dhe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rkuesin,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kushtet kur zyrat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jan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institucionet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ngarkuara nga ligji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vendimeve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536CA5" w:rsidRPr="00816992" w:rsidRDefault="0021161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</w:t>
            </w:r>
          </w:p>
        </w:tc>
        <w:tc>
          <w:tcPr>
            <w:tcW w:w="1134" w:type="dxa"/>
          </w:tcPr>
          <w:p w:rsidR="00536CA5" w:rsidRPr="00816992" w:rsidRDefault="00536CA5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D677B8" w:rsidRPr="00816992" w:rsidTr="00E76BA2">
        <w:trPr>
          <w:trHeight w:val="2435"/>
        </w:trPr>
        <w:tc>
          <w:tcPr>
            <w:tcW w:w="132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465" w:type="dxa"/>
          </w:tcPr>
          <w:p w:rsidR="00D677B8" w:rsidRPr="00C6643F" w:rsidRDefault="00DD1207" w:rsidP="00643E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08.08.2025</w:t>
            </w:r>
          </w:p>
        </w:tc>
        <w:tc>
          <w:tcPr>
            <w:tcW w:w="1890" w:type="dxa"/>
          </w:tcPr>
          <w:p w:rsidR="00D677B8" w:rsidRPr="00A978F8" w:rsidRDefault="00DD1207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nga shtetasi Barjam Hyso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rmbarimore Vlor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ekzekutimin e vendimit gjyq</w:t>
            </w:r>
            <w:r w:rsidR="007A2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sor.</w:t>
            </w:r>
          </w:p>
        </w:tc>
        <w:tc>
          <w:tcPr>
            <w:tcW w:w="1303" w:type="dxa"/>
          </w:tcPr>
          <w:p w:rsidR="00D677B8" w:rsidRPr="00A978F8" w:rsidRDefault="00BE5BEA" w:rsidP="00A978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2837" w:type="dxa"/>
          </w:tcPr>
          <w:p w:rsidR="0006027D" w:rsidRPr="00A978F8" w:rsidRDefault="00BE5BEA" w:rsidP="004808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rcjelljes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informacionit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Vlor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b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ankuesit se veprimet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jan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kryer konform dispozitave ligjore.</w:t>
            </w:r>
          </w:p>
        </w:tc>
        <w:tc>
          <w:tcPr>
            <w:tcW w:w="1530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Trajtuar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6992">
              <w:rPr>
                <w:rFonts w:ascii="Times New Roman" w:hAnsi="Times New Roman" w:cs="Times New Roman"/>
              </w:rPr>
              <w:t>plot</w:t>
            </w:r>
            <w:r w:rsidR="00534544">
              <w:rPr>
                <w:rFonts w:ascii="Times New Roman" w:hAnsi="Times New Roman" w:cs="Times New Roman"/>
              </w:rPr>
              <w:t>e</w:t>
            </w:r>
            <w:r w:rsidRPr="00816992"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D677B8" w:rsidRPr="00816992" w:rsidRDefault="00D677B8" w:rsidP="00643E28">
            <w:pPr>
              <w:rPr>
                <w:rFonts w:ascii="Times New Roman" w:hAnsi="Times New Roman" w:cs="Times New Roman"/>
              </w:rPr>
            </w:pPr>
            <w:r w:rsidRPr="00816992"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625843" w:rsidRPr="00816992" w:rsidTr="00E76BA2">
        <w:trPr>
          <w:trHeight w:val="221"/>
        </w:trPr>
        <w:tc>
          <w:tcPr>
            <w:tcW w:w="1320" w:type="dxa"/>
          </w:tcPr>
          <w:p w:rsidR="00625843" w:rsidRDefault="00B53AD1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0E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625843" w:rsidRPr="00C6643F" w:rsidRDefault="00BE5BEA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625843" w:rsidRPr="00A978F8" w:rsidRDefault="00BE5BEA" w:rsidP="00DA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“Kthim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 Ornela Mekuri”</w:t>
            </w:r>
          </w:p>
        </w:tc>
        <w:tc>
          <w:tcPr>
            <w:tcW w:w="1303" w:type="dxa"/>
          </w:tcPr>
          <w:p w:rsidR="00625843" w:rsidRPr="00A978F8" w:rsidRDefault="00BE5BE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837" w:type="dxa"/>
          </w:tcPr>
          <w:p w:rsidR="00625843" w:rsidRPr="00A978F8" w:rsidRDefault="00BE5BEA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rgjigjen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Sarand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me pal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debitore subjektin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625843" w:rsidRPr="00816992" w:rsidRDefault="00B909AE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625843" w:rsidRPr="00816992" w:rsidRDefault="005B7008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EB76DD" w:rsidRPr="00816992" w:rsidTr="00E76BA2">
        <w:trPr>
          <w:trHeight w:val="191"/>
        </w:trPr>
        <w:tc>
          <w:tcPr>
            <w:tcW w:w="1320" w:type="dxa"/>
          </w:tcPr>
          <w:p w:rsidR="00EB76DD" w:rsidRDefault="00534544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76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5" w:type="dxa"/>
          </w:tcPr>
          <w:p w:rsidR="00EB76DD" w:rsidRPr="00C6643F" w:rsidRDefault="00BE5BEA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EB76DD" w:rsidRPr="00A978F8" w:rsidRDefault="00BE5BEA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“Kthim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 Vojsava Beti”</w:t>
            </w:r>
          </w:p>
        </w:tc>
        <w:tc>
          <w:tcPr>
            <w:tcW w:w="1303" w:type="dxa"/>
          </w:tcPr>
          <w:p w:rsidR="00EB76DD" w:rsidRPr="00A978F8" w:rsidRDefault="00BE5BE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837" w:type="dxa"/>
          </w:tcPr>
          <w:p w:rsidR="00EB76DD" w:rsidRPr="00A978F8" w:rsidRDefault="00BE5BEA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rgjigjen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Fier, si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me pal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debitore subjektin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</w:t>
            </w:r>
            <w:r w:rsidR="0053454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sisht.</w:t>
            </w:r>
          </w:p>
        </w:tc>
        <w:tc>
          <w:tcPr>
            <w:tcW w:w="1134" w:type="dxa"/>
          </w:tcPr>
          <w:p w:rsidR="00EB76DD" w:rsidRPr="00816992" w:rsidRDefault="00EB76DD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</w:t>
            </w:r>
            <w:r w:rsidR="00534544">
              <w:rPr>
                <w:rFonts w:ascii="Times New Roman" w:hAnsi="Times New Roman" w:cs="Times New Roman"/>
              </w:rPr>
              <w:t>e</w:t>
            </w:r>
          </w:p>
        </w:tc>
      </w:tr>
      <w:tr w:rsidR="005A07E0" w:rsidRPr="00816992" w:rsidTr="00E76BA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65" w:type="dxa"/>
          </w:tcPr>
          <w:p w:rsidR="005A07E0" w:rsidRPr="00C6643F" w:rsidRDefault="00BE5BEA" w:rsidP="00643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5A07E0" w:rsidRPr="00A978F8" w:rsidRDefault="00BE5BEA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“Kthim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Subjektin Elvis”</w:t>
            </w:r>
          </w:p>
        </w:tc>
        <w:tc>
          <w:tcPr>
            <w:tcW w:w="1303" w:type="dxa"/>
          </w:tcPr>
          <w:p w:rsidR="005A07E0" w:rsidRPr="00A978F8" w:rsidRDefault="00BE5BEA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837" w:type="dxa"/>
          </w:tcPr>
          <w:p w:rsidR="005A07E0" w:rsidRPr="00A978F8" w:rsidRDefault="00BE5BEA" w:rsidP="00BE5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rgjigjen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me pal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debitore subjektin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A07E0" w:rsidRPr="00816992" w:rsidTr="00E76BA2">
        <w:trPr>
          <w:trHeight w:val="191"/>
        </w:trPr>
        <w:tc>
          <w:tcPr>
            <w:tcW w:w="132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65" w:type="dxa"/>
          </w:tcPr>
          <w:p w:rsidR="005A07E0" w:rsidRPr="00C6643F" w:rsidRDefault="008F3CA9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5A07E0" w:rsidRPr="00A978F8" w:rsidRDefault="008F3CA9" w:rsidP="001A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shtet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 I. D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moszbatimin e vendimit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me objekt pension ushqimor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Mat.</w:t>
            </w:r>
          </w:p>
        </w:tc>
        <w:tc>
          <w:tcPr>
            <w:tcW w:w="1303" w:type="dxa"/>
          </w:tcPr>
          <w:p w:rsidR="005A07E0" w:rsidRPr="00A978F8" w:rsidRDefault="008F3CA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</w:t>
            </w:r>
          </w:p>
        </w:tc>
        <w:tc>
          <w:tcPr>
            <w:tcW w:w="2837" w:type="dxa"/>
          </w:tcPr>
          <w:p w:rsidR="005A07E0" w:rsidRPr="00A978F8" w:rsidRDefault="008F3CA9" w:rsidP="008F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verifikimit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informacionit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dhe kopjes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dosjes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rmbarimore, 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b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ankueses se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Mat ka kryer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gjitha veprimet ligjore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por shkak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mosekzekutimin ka 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mungesa e pasuris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debitore. Gjithashtu bazuar dhe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informacionin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ankuesja se debitori jeton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shtetin Belg, I 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saj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fundit se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rmbaruesit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shtet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ror nuk mund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kryejn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veprime procedurale jasht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territorit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Republik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Shqip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por e kane orientuar ankuesen ti drejtohet Ministris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autorit 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ndro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bazuar </w:t>
            </w:r>
            <w:r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 xml:space="preserve"> në</w:t>
            </w:r>
            <w:proofErr w:type="gramEnd"/>
            <w:r>
              <w:rPr>
                <w:rFonts w:ascii="Times New Roman" w:eastAsia="MS Mincho" w:hAnsi="Times New Roman"/>
                <w:sz w:val="24"/>
                <w:szCs w:val="24"/>
                <w:lang w:val="fr-FR"/>
              </w:rPr>
              <w:t xml:space="preserve"> ligjin nr. </w:t>
            </w:r>
            <w:r w:rsidRPr="00333B44">
              <w:rPr>
                <w:rFonts w:ascii="Times New Roman" w:hAnsi="Times New Roman"/>
                <w:sz w:val="24"/>
                <w:szCs w:val="24"/>
              </w:rPr>
              <w:t xml:space="preserve">63/2012 </w:t>
            </w:r>
            <w:r>
              <w:rPr>
                <w:rFonts w:ascii="Times New Roman" w:hAnsi="Times New Roman"/>
                <w:sz w:val="24"/>
                <w:szCs w:val="24"/>
              </w:rPr>
              <w:t>“P</w:t>
            </w:r>
            <w:r w:rsidRPr="00333B44">
              <w:rPr>
                <w:rFonts w:ascii="Times New Roman" w:hAnsi="Times New Roman"/>
                <w:sz w:val="24"/>
                <w:szCs w:val="24"/>
              </w:rPr>
              <w:t xml:space="preserve">ër ratifikimin e Konventës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33B44">
              <w:rPr>
                <w:rFonts w:ascii="Times New Roman" w:hAnsi="Times New Roman"/>
                <w:sz w:val="24"/>
                <w:szCs w:val="24"/>
              </w:rPr>
              <w:t>ë Hagës “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33B44">
              <w:rPr>
                <w:rFonts w:ascii="Times New Roman" w:hAnsi="Times New Roman"/>
                <w:sz w:val="24"/>
                <w:szCs w:val="24"/>
              </w:rPr>
              <w:t>ër rivendosjen ndërkombëtare të detyrimit ushqimor ndaj fëmijëve dhe formave të tjera të mbështetjes për anëtarët e tjerë të familjes</w:t>
            </w:r>
          </w:p>
        </w:tc>
        <w:tc>
          <w:tcPr>
            <w:tcW w:w="1530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5A07E0" w:rsidRDefault="005A07E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4109EC" w:rsidRPr="00816992" w:rsidTr="00E76BA2">
        <w:trPr>
          <w:trHeight w:val="191"/>
        </w:trPr>
        <w:tc>
          <w:tcPr>
            <w:tcW w:w="132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65" w:type="dxa"/>
          </w:tcPr>
          <w:p w:rsidR="004109EC" w:rsidRPr="00C6643F" w:rsidRDefault="008F3CA9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1890" w:type="dxa"/>
          </w:tcPr>
          <w:p w:rsidR="004109EC" w:rsidRPr="00A978F8" w:rsidRDefault="008F3CA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shtetasi R. S mbi procedurat e ndjekura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Fier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nj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 vendimi gjyq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sor.</w:t>
            </w:r>
          </w:p>
        </w:tc>
        <w:tc>
          <w:tcPr>
            <w:tcW w:w="1303" w:type="dxa"/>
          </w:tcPr>
          <w:p w:rsidR="004109EC" w:rsidRPr="00A978F8" w:rsidRDefault="008F3CA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837" w:type="dxa"/>
          </w:tcPr>
          <w:p w:rsidR="004109EC" w:rsidRPr="00A978F8" w:rsidRDefault="008F3CA9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verifikimeve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kryera nga ana e Drejtoris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ju b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me dije ankuesit se vendimi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nuk figuron i regjistruar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>rmbarimore Fier dhe se 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>se ky i fundit ishte i interesuar ta regjistronte duhej 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paraqitej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036AC">
              <w:rPr>
                <w:rFonts w:ascii="Times New Roman" w:hAnsi="Times New Roman" w:cs="Times New Roman"/>
                <w:sz w:val="24"/>
                <w:szCs w:val="24"/>
              </w:rPr>
              <w:t>rmbarimore Fier.</w:t>
            </w:r>
          </w:p>
        </w:tc>
        <w:tc>
          <w:tcPr>
            <w:tcW w:w="1530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Trajtuar plotesisht.</w:t>
            </w:r>
          </w:p>
        </w:tc>
        <w:tc>
          <w:tcPr>
            <w:tcW w:w="1134" w:type="dxa"/>
          </w:tcPr>
          <w:p w:rsidR="004109EC" w:rsidRDefault="004109E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DB1790" w:rsidRPr="00816992" w:rsidTr="00E76BA2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65" w:type="dxa"/>
          </w:tcPr>
          <w:p w:rsidR="00DB1790" w:rsidRPr="00C6643F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890" w:type="dxa"/>
          </w:tcPr>
          <w:p w:rsidR="00DB1790" w:rsidRPr="00A978F8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DB1790" w:rsidRPr="00A978F8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37" w:type="dxa"/>
          </w:tcPr>
          <w:p w:rsidR="00DB1790" w:rsidRPr="00A978F8" w:rsidRDefault="007A2D13" w:rsidP="007A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Përgjithshme e Përmbarimit e ka pëërcjellë kërkesën pranë zyrës përkatëse, si instucioni i ngarkuar nga ligji.</w:t>
            </w:r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DB1790" w:rsidRPr="00816992" w:rsidTr="00E76BA2">
        <w:trPr>
          <w:trHeight w:val="191"/>
        </w:trPr>
        <w:tc>
          <w:tcPr>
            <w:tcW w:w="132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65" w:type="dxa"/>
          </w:tcPr>
          <w:p w:rsidR="00DB1790" w:rsidRPr="00C6643F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890" w:type="dxa"/>
          </w:tcPr>
          <w:p w:rsidR="00DB1790" w:rsidRPr="00A978F8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DB1790" w:rsidRPr="00A978F8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37" w:type="dxa"/>
          </w:tcPr>
          <w:p w:rsidR="00DB1790" w:rsidRPr="00A978F8" w:rsidRDefault="001036AC" w:rsidP="007A2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e ka p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n pran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zyr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C5FE0">
              <w:rPr>
                <w:rFonts w:ascii="Times New Roman" w:hAnsi="Times New Roman" w:cs="Times New Roman"/>
                <w:sz w:val="24"/>
                <w:szCs w:val="24"/>
              </w:rPr>
              <w:t xml:space="preserve">se, si instucioni i ngarkuar 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nga ligji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r ekzekutimin e vendimeve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DB1790" w:rsidRDefault="00DB179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13D12" w:rsidRPr="00816992" w:rsidTr="00E76BA2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65" w:type="dxa"/>
          </w:tcPr>
          <w:p w:rsidR="00513D12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890" w:type="dxa"/>
          </w:tcPr>
          <w:p w:rsidR="00513D12" w:rsidRDefault="001036AC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Lezh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13D12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37" w:type="dxa"/>
          </w:tcPr>
          <w:p w:rsidR="00513D12" w:rsidRDefault="007A2D13" w:rsidP="00762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Drejtoria e Përgjithshme e Përmbarimit e ka përcjellë kërkesën pranë zyrës përkatëse, si 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 xml:space="preserve">instucioni i ngarkuar nga ligji 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r ekzekutimin e vendimeve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513D12" w:rsidRPr="00816992" w:rsidTr="00E76BA2">
        <w:trPr>
          <w:trHeight w:val="191"/>
        </w:trPr>
        <w:tc>
          <w:tcPr>
            <w:tcW w:w="132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65" w:type="dxa"/>
          </w:tcPr>
          <w:p w:rsidR="00513D12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890" w:type="dxa"/>
          </w:tcPr>
          <w:p w:rsidR="00513D12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513D12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37" w:type="dxa"/>
          </w:tcPr>
          <w:p w:rsidR="00513D12" w:rsidRDefault="007A2D13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rgjithshme e Përmbarimit e ka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ërcjellë kërkesën pranë zyrës përkatëse, si 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 xml:space="preserve">instucioni i ngarkuar nga </w:t>
            </w:r>
            <w:proofErr w:type="gramStart"/>
            <w:r w:rsidR="00762550">
              <w:rPr>
                <w:rFonts w:ascii="Times New Roman" w:hAnsi="Times New Roman" w:cs="Times New Roman"/>
                <w:sz w:val="24"/>
                <w:szCs w:val="24"/>
              </w:rPr>
              <w:t xml:space="preserve">ligji  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gramStart"/>
            <w:r w:rsidR="0076255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="00762550">
              <w:rPr>
                <w:rFonts w:ascii="Times New Roman" w:hAnsi="Times New Roman" w:cs="Times New Roman"/>
                <w:sz w:val="24"/>
                <w:szCs w:val="24"/>
              </w:rPr>
              <w:t xml:space="preserve"> ekzekutimin e vendimeve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62550"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513D12" w:rsidRDefault="00513D1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513D12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E76BA2">
        <w:trPr>
          <w:trHeight w:val="191"/>
        </w:trPr>
        <w:tc>
          <w:tcPr>
            <w:tcW w:w="1320" w:type="dxa"/>
          </w:tcPr>
          <w:p w:rsidR="001036AC" w:rsidRDefault="001036A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465" w:type="dxa"/>
          </w:tcPr>
          <w:p w:rsidR="001036AC" w:rsidRDefault="001036AC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890" w:type="dxa"/>
          </w:tcPr>
          <w:p w:rsidR="001036AC" w:rsidRDefault="001036AC" w:rsidP="001036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Agjencia e Inteligjenc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Financiare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vijimin e procedurave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nga Zyra P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Vlor</w:t>
            </w:r>
            <w:r w:rsidR="007A2D1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1036AC" w:rsidRDefault="001036AC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1036AC" w:rsidRDefault="00762550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Përgjithshme e Përmbarimit e ka përcjellë kërkesën pranë zyrës përkatëse, si instucioni i ngarkuar nga ligji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vendimeve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sore.</w:t>
            </w:r>
          </w:p>
        </w:tc>
        <w:tc>
          <w:tcPr>
            <w:tcW w:w="1530" w:type="dxa"/>
          </w:tcPr>
          <w:p w:rsidR="001036AC" w:rsidRDefault="001036AC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E76BA2">
        <w:trPr>
          <w:trHeight w:val="191"/>
        </w:trPr>
        <w:tc>
          <w:tcPr>
            <w:tcW w:w="132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65" w:type="dxa"/>
          </w:tcPr>
          <w:p w:rsidR="001036AC" w:rsidRDefault="00762550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1890" w:type="dxa"/>
          </w:tcPr>
          <w:p w:rsidR="001036AC" w:rsidRDefault="00762550" w:rsidP="009F6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Pastrim Gjelb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rimit pran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Bashkis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pran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informacion 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86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nisur Zyra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1036AC" w:rsidRDefault="0076255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837" w:type="dxa"/>
          </w:tcPr>
          <w:p w:rsidR="001036AC" w:rsidRDefault="00762550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rgjithshme e ka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proofErr w:type="gramEnd"/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gramStart"/>
            <w:r w:rsidR="009F6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Kthim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rgjigjen”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1036AC" w:rsidRPr="00816992" w:rsidTr="00E76BA2">
        <w:trPr>
          <w:trHeight w:val="191"/>
        </w:trPr>
        <w:tc>
          <w:tcPr>
            <w:tcW w:w="132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65" w:type="dxa"/>
          </w:tcPr>
          <w:p w:rsidR="001036AC" w:rsidRDefault="009F6860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890" w:type="dxa"/>
          </w:tcPr>
          <w:p w:rsidR="001036AC" w:rsidRDefault="009F686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 M.M mbi mosveprimin e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Durr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1303" w:type="dxa"/>
          </w:tcPr>
          <w:p w:rsidR="001036AC" w:rsidRDefault="009F6860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837" w:type="dxa"/>
          </w:tcPr>
          <w:p w:rsidR="001036AC" w:rsidRDefault="009F6860" w:rsidP="00AE1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 Drejtoria 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u sqarua ankuesja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rish se 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kryer hetimi administrativ dhe ka rezultuar 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se nga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rmbaruesi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sor jan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kryer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gjitha veprimet procedurale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r ekzekutimin e vendimit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sor pork a 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i pamundur ekzekutimi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r shkak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munges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pasuris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 xml:space="preserve"> pal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AE18F7">
              <w:rPr>
                <w:rFonts w:ascii="Times New Roman" w:hAnsi="Times New Roman" w:cs="Times New Roman"/>
                <w:sz w:val="24"/>
                <w:szCs w:val="24"/>
              </w:rPr>
              <w:t>ve debitore.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1036AC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1036AC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E76BA2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65" w:type="dxa"/>
          </w:tcPr>
          <w:p w:rsidR="00762550" w:rsidRDefault="00AE18F7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890" w:type="dxa"/>
          </w:tcPr>
          <w:p w:rsidR="00762550" w:rsidRDefault="00AE18F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shtetasi K.M mbi mosvperimin e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303" w:type="dxa"/>
          </w:tcPr>
          <w:p w:rsidR="00762550" w:rsidRDefault="00AE18F7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01.08.2025</w:t>
            </w:r>
          </w:p>
        </w:tc>
        <w:tc>
          <w:tcPr>
            <w:tcW w:w="2837" w:type="dxa"/>
          </w:tcPr>
          <w:p w:rsidR="00762550" w:rsidRDefault="00AE18F7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 ju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rcoll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762550" w:rsidRDefault="00B74E13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E76BA2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65" w:type="dxa"/>
          </w:tcPr>
          <w:p w:rsidR="00762550" w:rsidRDefault="00E76BA2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890" w:type="dxa"/>
          </w:tcPr>
          <w:p w:rsidR="00762550" w:rsidRDefault="00E76BA2" w:rsidP="00E76BA2">
            <w:pPr>
              <w:tabs>
                <w:tab w:val="left" w:pos="15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 R.A mbi mosekzekutimin e vendimit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me pal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kreditore ankuesen dhe pal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debitore Bashkin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Librazhd.</w:t>
            </w:r>
          </w:p>
        </w:tc>
        <w:tc>
          <w:tcPr>
            <w:tcW w:w="1303" w:type="dxa"/>
          </w:tcPr>
          <w:p w:rsidR="00762550" w:rsidRDefault="00E76BA2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2837" w:type="dxa"/>
          </w:tcPr>
          <w:p w:rsidR="00762550" w:rsidRDefault="00E76BA2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kryerjes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hetimit administrativ, 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informuar ankuesja mbi procedur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e ndjekur nga Zyra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Elbasan 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funskion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ekzekutimit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vendimit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si dhe i jan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shkaqet ligjore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mosekzekutimit.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762550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762550" w:rsidRPr="00816992" w:rsidTr="00E76BA2">
        <w:trPr>
          <w:trHeight w:val="191"/>
        </w:trPr>
        <w:tc>
          <w:tcPr>
            <w:tcW w:w="132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65" w:type="dxa"/>
          </w:tcPr>
          <w:p w:rsidR="00762550" w:rsidRDefault="00E76BA2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1890" w:type="dxa"/>
          </w:tcPr>
          <w:p w:rsidR="00762550" w:rsidRDefault="00A73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shtet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sja R.B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nga Zyra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</w:tcPr>
          <w:p w:rsidR="00762550" w:rsidRDefault="00E76BA2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837" w:type="dxa"/>
          </w:tcPr>
          <w:p w:rsidR="00762550" w:rsidRDefault="00A7377D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 ju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rcoll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rmbarimore Tiran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762550" w:rsidRDefault="00762550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Trajtuar plotesisht.</w:t>
            </w:r>
          </w:p>
        </w:tc>
        <w:tc>
          <w:tcPr>
            <w:tcW w:w="1134" w:type="dxa"/>
          </w:tcPr>
          <w:p w:rsidR="00762550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 tarife</w:t>
            </w:r>
          </w:p>
        </w:tc>
      </w:tr>
      <w:tr w:rsidR="00E76BA2" w:rsidRPr="00816992" w:rsidTr="00E76BA2">
        <w:trPr>
          <w:trHeight w:val="191"/>
        </w:trPr>
        <w:tc>
          <w:tcPr>
            <w:tcW w:w="132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65" w:type="dxa"/>
          </w:tcPr>
          <w:p w:rsidR="00E76BA2" w:rsidRDefault="00A7377D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1890" w:type="dxa"/>
          </w:tcPr>
          <w:p w:rsidR="00E76BA2" w:rsidRDefault="00A7377D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Ministria e Drejt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ka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rmbarimit 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n e shtetasit I.B n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lidhje me mosekzekutimin e nj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 xml:space="preserve"> vendimi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sor nga Zyra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82BEB">
              <w:rPr>
                <w:rFonts w:ascii="Times New Roman" w:hAnsi="Times New Roman" w:cs="Times New Roman"/>
                <w:sz w:val="24"/>
                <w:szCs w:val="24"/>
              </w:rPr>
              <w:t>rmbarimore Fier</w:t>
            </w:r>
          </w:p>
        </w:tc>
        <w:tc>
          <w:tcPr>
            <w:tcW w:w="1303" w:type="dxa"/>
          </w:tcPr>
          <w:p w:rsidR="00E76BA2" w:rsidRDefault="00982BEB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2837" w:type="dxa"/>
          </w:tcPr>
          <w:p w:rsidR="00E76BA2" w:rsidRDefault="00982BEB" w:rsidP="0098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kthyer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Ministris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i b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se ankuesit i 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khtyer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rgjigje, duke i bashk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ngjitur dhe praktik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se.</w:t>
            </w:r>
          </w:p>
        </w:tc>
        <w:tc>
          <w:tcPr>
            <w:tcW w:w="153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</w:tr>
      <w:tr w:rsidR="00E76BA2" w:rsidRPr="00816992" w:rsidTr="00E76BA2">
        <w:trPr>
          <w:trHeight w:val="191"/>
        </w:trPr>
        <w:tc>
          <w:tcPr>
            <w:tcW w:w="132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65" w:type="dxa"/>
          </w:tcPr>
          <w:p w:rsidR="00E76BA2" w:rsidRDefault="00982BEB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E76BA2" w:rsidRDefault="00982BEB" w:rsidP="0098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Av. G.H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ekzekutimin e vendimit gjyq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 nga Zyra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Fier.</w:t>
            </w:r>
          </w:p>
        </w:tc>
        <w:tc>
          <w:tcPr>
            <w:tcW w:w="1303" w:type="dxa"/>
          </w:tcPr>
          <w:p w:rsidR="00E76BA2" w:rsidRDefault="00982BEB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15.08.2025</w:t>
            </w:r>
          </w:p>
        </w:tc>
        <w:tc>
          <w:tcPr>
            <w:tcW w:w="2837" w:type="dxa"/>
          </w:tcPr>
          <w:p w:rsidR="00E76BA2" w:rsidRDefault="00982BEB" w:rsidP="00982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rkesa ju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rcoll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kompetenc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7E43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</w:tr>
      <w:tr w:rsidR="00E76BA2" w:rsidRPr="00816992" w:rsidTr="00E76BA2">
        <w:trPr>
          <w:trHeight w:val="191"/>
        </w:trPr>
        <w:tc>
          <w:tcPr>
            <w:tcW w:w="132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5" w:type="dxa"/>
          </w:tcPr>
          <w:p w:rsidR="00E76BA2" w:rsidRDefault="00982BEB" w:rsidP="007F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1890" w:type="dxa"/>
          </w:tcPr>
          <w:p w:rsidR="00E76BA2" w:rsidRDefault="007E4349" w:rsidP="007E4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Ministria e Drejt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e shtetasit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N.Sh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lidhje me mosekzekutimin e 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vendimi gjyq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 nga Zyra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rmbarimore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Lezhë</w:t>
            </w:r>
          </w:p>
        </w:tc>
        <w:tc>
          <w:tcPr>
            <w:tcW w:w="1303" w:type="dxa"/>
          </w:tcPr>
          <w:p w:rsidR="00E76BA2" w:rsidRDefault="007E4349" w:rsidP="00A97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837" w:type="dxa"/>
          </w:tcPr>
          <w:p w:rsidR="00E76BA2" w:rsidRDefault="007E4349" w:rsidP="00017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rgjithshme 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rmbarimit i ka kthyer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 Ministris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duke i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dije se ankuesit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khtyer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rgjigje, duke i bashk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ngjitur dhe praktik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se.</w:t>
            </w:r>
          </w:p>
        </w:tc>
        <w:tc>
          <w:tcPr>
            <w:tcW w:w="1530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6BA2" w:rsidRDefault="00E76BA2" w:rsidP="00643E28">
            <w:pPr>
              <w:rPr>
                <w:rFonts w:ascii="Times New Roman" w:hAnsi="Times New Roman" w:cs="Times New Roman"/>
              </w:rPr>
            </w:pPr>
          </w:p>
        </w:tc>
      </w:tr>
    </w:tbl>
    <w:p w:rsidR="00111F4F" w:rsidRPr="00816992" w:rsidRDefault="00111F4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F4F" w:rsidRPr="00816992" w:rsidSect="00CE4F3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2A"/>
    <w:rsid w:val="00007AD5"/>
    <w:rsid w:val="00014407"/>
    <w:rsid w:val="0001797D"/>
    <w:rsid w:val="00017A8A"/>
    <w:rsid w:val="00023ECD"/>
    <w:rsid w:val="00024D8F"/>
    <w:rsid w:val="00025B29"/>
    <w:rsid w:val="00033694"/>
    <w:rsid w:val="00044265"/>
    <w:rsid w:val="00047CF0"/>
    <w:rsid w:val="0006027D"/>
    <w:rsid w:val="00061019"/>
    <w:rsid w:val="0006133E"/>
    <w:rsid w:val="000632A2"/>
    <w:rsid w:val="0006741E"/>
    <w:rsid w:val="000714E8"/>
    <w:rsid w:val="00072567"/>
    <w:rsid w:val="000751AA"/>
    <w:rsid w:val="00076943"/>
    <w:rsid w:val="00076EE4"/>
    <w:rsid w:val="00083022"/>
    <w:rsid w:val="00084B6E"/>
    <w:rsid w:val="00092621"/>
    <w:rsid w:val="000A16D2"/>
    <w:rsid w:val="000B4EEF"/>
    <w:rsid w:val="000B76FB"/>
    <w:rsid w:val="000C2211"/>
    <w:rsid w:val="000C310A"/>
    <w:rsid w:val="000C32C4"/>
    <w:rsid w:val="000C3929"/>
    <w:rsid w:val="000C4149"/>
    <w:rsid w:val="000C6396"/>
    <w:rsid w:val="000D090E"/>
    <w:rsid w:val="000D1036"/>
    <w:rsid w:val="000E015E"/>
    <w:rsid w:val="000E1F88"/>
    <w:rsid w:val="000E7EB1"/>
    <w:rsid w:val="000F31CF"/>
    <w:rsid w:val="000F49FD"/>
    <w:rsid w:val="000F6A23"/>
    <w:rsid w:val="000F7631"/>
    <w:rsid w:val="00100BB9"/>
    <w:rsid w:val="00102D0B"/>
    <w:rsid w:val="001036AC"/>
    <w:rsid w:val="001062CF"/>
    <w:rsid w:val="00111F4F"/>
    <w:rsid w:val="00116EE1"/>
    <w:rsid w:val="00117E1F"/>
    <w:rsid w:val="00117E3B"/>
    <w:rsid w:val="00124C1B"/>
    <w:rsid w:val="0012553B"/>
    <w:rsid w:val="00127E3E"/>
    <w:rsid w:val="0013061A"/>
    <w:rsid w:val="00131295"/>
    <w:rsid w:val="00132A17"/>
    <w:rsid w:val="00137447"/>
    <w:rsid w:val="00137B1C"/>
    <w:rsid w:val="0014030C"/>
    <w:rsid w:val="001434B0"/>
    <w:rsid w:val="0014352C"/>
    <w:rsid w:val="00152AC9"/>
    <w:rsid w:val="001538A1"/>
    <w:rsid w:val="0015403F"/>
    <w:rsid w:val="001543CB"/>
    <w:rsid w:val="00154A56"/>
    <w:rsid w:val="001570E2"/>
    <w:rsid w:val="00174F87"/>
    <w:rsid w:val="00192896"/>
    <w:rsid w:val="001951F8"/>
    <w:rsid w:val="00196174"/>
    <w:rsid w:val="001977E5"/>
    <w:rsid w:val="001A3112"/>
    <w:rsid w:val="001A5613"/>
    <w:rsid w:val="001A6629"/>
    <w:rsid w:val="001C0355"/>
    <w:rsid w:val="001C23D0"/>
    <w:rsid w:val="001D5BF1"/>
    <w:rsid w:val="001D67F3"/>
    <w:rsid w:val="001E0356"/>
    <w:rsid w:val="001E3163"/>
    <w:rsid w:val="001E4EE5"/>
    <w:rsid w:val="001E5769"/>
    <w:rsid w:val="001E5962"/>
    <w:rsid w:val="001F63AD"/>
    <w:rsid w:val="00207180"/>
    <w:rsid w:val="0021128E"/>
    <w:rsid w:val="0021161C"/>
    <w:rsid w:val="00212C99"/>
    <w:rsid w:val="002140B1"/>
    <w:rsid w:val="00216FFF"/>
    <w:rsid w:val="00231E89"/>
    <w:rsid w:val="002351C6"/>
    <w:rsid w:val="002468CD"/>
    <w:rsid w:val="0024690D"/>
    <w:rsid w:val="00246FE3"/>
    <w:rsid w:val="002563FA"/>
    <w:rsid w:val="00256D2A"/>
    <w:rsid w:val="00263CE1"/>
    <w:rsid w:val="00266E01"/>
    <w:rsid w:val="00272D6A"/>
    <w:rsid w:val="00274D01"/>
    <w:rsid w:val="00280EE2"/>
    <w:rsid w:val="002826BE"/>
    <w:rsid w:val="0028306D"/>
    <w:rsid w:val="002840BC"/>
    <w:rsid w:val="00286AE1"/>
    <w:rsid w:val="002A3B97"/>
    <w:rsid w:val="002A513A"/>
    <w:rsid w:val="002B4988"/>
    <w:rsid w:val="002D4698"/>
    <w:rsid w:val="002D5C03"/>
    <w:rsid w:val="002E4753"/>
    <w:rsid w:val="002E5B5B"/>
    <w:rsid w:val="002E600E"/>
    <w:rsid w:val="002E61C9"/>
    <w:rsid w:val="002E6FF7"/>
    <w:rsid w:val="002F5CC6"/>
    <w:rsid w:val="003128CF"/>
    <w:rsid w:val="00320E54"/>
    <w:rsid w:val="0032270C"/>
    <w:rsid w:val="003229D7"/>
    <w:rsid w:val="00323D39"/>
    <w:rsid w:val="00324AB5"/>
    <w:rsid w:val="0033588D"/>
    <w:rsid w:val="00337439"/>
    <w:rsid w:val="00340C8C"/>
    <w:rsid w:val="00345E1E"/>
    <w:rsid w:val="00346FFE"/>
    <w:rsid w:val="00350B2F"/>
    <w:rsid w:val="00364717"/>
    <w:rsid w:val="003936C3"/>
    <w:rsid w:val="003A0BA2"/>
    <w:rsid w:val="003A1EF2"/>
    <w:rsid w:val="003A2169"/>
    <w:rsid w:val="003A26B7"/>
    <w:rsid w:val="003A3321"/>
    <w:rsid w:val="003A3413"/>
    <w:rsid w:val="003B7F74"/>
    <w:rsid w:val="003C3234"/>
    <w:rsid w:val="003C67AD"/>
    <w:rsid w:val="003D0C37"/>
    <w:rsid w:val="003D0FE4"/>
    <w:rsid w:val="003D1DCA"/>
    <w:rsid w:val="003D28E2"/>
    <w:rsid w:val="003D31F5"/>
    <w:rsid w:val="003D4F4F"/>
    <w:rsid w:val="003E2EB1"/>
    <w:rsid w:val="003E7456"/>
    <w:rsid w:val="00401893"/>
    <w:rsid w:val="00403A08"/>
    <w:rsid w:val="004109EC"/>
    <w:rsid w:val="0041321F"/>
    <w:rsid w:val="004139CD"/>
    <w:rsid w:val="00413B36"/>
    <w:rsid w:val="00414BC1"/>
    <w:rsid w:val="004176BE"/>
    <w:rsid w:val="00422C28"/>
    <w:rsid w:val="00427478"/>
    <w:rsid w:val="00430456"/>
    <w:rsid w:val="0043225C"/>
    <w:rsid w:val="00434741"/>
    <w:rsid w:val="00440219"/>
    <w:rsid w:val="00442C72"/>
    <w:rsid w:val="00445D99"/>
    <w:rsid w:val="004546DC"/>
    <w:rsid w:val="0045720E"/>
    <w:rsid w:val="00462905"/>
    <w:rsid w:val="0046767D"/>
    <w:rsid w:val="00470EC3"/>
    <w:rsid w:val="0047400D"/>
    <w:rsid w:val="00474401"/>
    <w:rsid w:val="0048086A"/>
    <w:rsid w:val="00482B54"/>
    <w:rsid w:val="0048374E"/>
    <w:rsid w:val="00484C0E"/>
    <w:rsid w:val="00496FA7"/>
    <w:rsid w:val="004B0FA8"/>
    <w:rsid w:val="004B7F09"/>
    <w:rsid w:val="004C5C7B"/>
    <w:rsid w:val="004C6B78"/>
    <w:rsid w:val="004C7A34"/>
    <w:rsid w:val="004E0161"/>
    <w:rsid w:val="004E134E"/>
    <w:rsid w:val="004E40AF"/>
    <w:rsid w:val="004E576B"/>
    <w:rsid w:val="004E6EAD"/>
    <w:rsid w:val="004F3495"/>
    <w:rsid w:val="004F43A9"/>
    <w:rsid w:val="00500DE6"/>
    <w:rsid w:val="0050356E"/>
    <w:rsid w:val="00503591"/>
    <w:rsid w:val="00507CB7"/>
    <w:rsid w:val="00513D12"/>
    <w:rsid w:val="00515248"/>
    <w:rsid w:val="00515448"/>
    <w:rsid w:val="00534544"/>
    <w:rsid w:val="00534CBD"/>
    <w:rsid w:val="00534FEB"/>
    <w:rsid w:val="00535E07"/>
    <w:rsid w:val="00536CA5"/>
    <w:rsid w:val="00541AFB"/>
    <w:rsid w:val="0054241A"/>
    <w:rsid w:val="005503F2"/>
    <w:rsid w:val="0056055E"/>
    <w:rsid w:val="00560B0D"/>
    <w:rsid w:val="00575EEA"/>
    <w:rsid w:val="0057730B"/>
    <w:rsid w:val="00577BFE"/>
    <w:rsid w:val="00577E5E"/>
    <w:rsid w:val="005801CA"/>
    <w:rsid w:val="00583220"/>
    <w:rsid w:val="00587931"/>
    <w:rsid w:val="005913AD"/>
    <w:rsid w:val="00593B4A"/>
    <w:rsid w:val="005A07E0"/>
    <w:rsid w:val="005A38B2"/>
    <w:rsid w:val="005B7008"/>
    <w:rsid w:val="005B7890"/>
    <w:rsid w:val="005C3185"/>
    <w:rsid w:val="005C48D5"/>
    <w:rsid w:val="005C5C6C"/>
    <w:rsid w:val="005C6823"/>
    <w:rsid w:val="005D309A"/>
    <w:rsid w:val="005D794F"/>
    <w:rsid w:val="005E7E6E"/>
    <w:rsid w:val="005F5A43"/>
    <w:rsid w:val="00604367"/>
    <w:rsid w:val="00604E9B"/>
    <w:rsid w:val="00610B36"/>
    <w:rsid w:val="00621E52"/>
    <w:rsid w:val="00622E24"/>
    <w:rsid w:val="00625843"/>
    <w:rsid w:val="00630A87"/>
    <w:rsid w:val="006311F6"/>
    <w:rsid w:val="0063198A"/>
    <w:rsid w:val="006330A4"/>
    <w:rsid w:val="00633534"/>
    <w:rsid w:val="006361E8"/>
    <w:rsid w:val="0063631B"/>
    <w:rsid w:val="0063792A"/>
    <w:rsid w:val="00637C05"/>
    <w:rsid w:val="00643E28"/>
    <w:rsid w:val="0065534C"/>
    <w:rsid w:val="0067277D"/>
    <w:rsid w:val="0067450D"/>
    <w:rsid w:val="006802AC"/>
    <w:rsid w:val="00687112"/>
    <w:rsid w:val="006A5087"/>
    <w:rsid w:val="006B345B"/>
    <w:rsid w:val="006B4A9C"/>
    <w:rsid w:val="006B54D8"/>
    <w:rsid w:val="006C2204"/>
    <w:rsid w:val="006F0D38"/>
    <w:rsid w:val="006F44F5"/>
    <w:rsid w:val="00706D1B"/>
    <w:rsid w:val="00724013"/>
    <w:rsid w:val="00732C01"/>
    <w:rsid w:val="00751ADC"/>
    <w:rsid w:val="0075348D"/>
    <w:rsid w:val="00753931"/>
    <w:rsid w:val="00762550"/>
    <w:rsid w:val="00766967"/>
    <w:rsid w:val="007702B7"/>
    <w:rsid w:val="0077572D"/>
    <w:rsid w:val="00781683"/>
    <w:rsid w:val="007849D0"/>
    <w:rsid w:val="00790CC5"/>
    <w:rsid w:val="007949B0"/>
    <w:rsid w:val="007973E7"/>
    <w:rsid w:val="007976EB"/>
    <w:rsid w:val="007A2D13"/>
    <w:rsid w:val="007A5A76"/>
    <w:rsid w:val="007A7068"/>
    <w:rsid w:val="007A7A00"/>
    <w:rsid w:val="007D2DCD"/>
    <w:rsid w:val="007D4F24"/>
    <w:rsid w:val="007E1D92"/>
    <w:rsid w:val="007E4349"/>
    <w:rsid w:val="007E6F02"/>
    <w:rsid w:val="007F4637"/>
    <w:rsid w:val="007F5006"/>
    <w:rsid w:val="007F57C5"/>
    <w:rsid w:val="007F7A62"/>
    <w:rsid w:val="0080562C"/>
    <w:rsid w:val="00806CDD"/>
    <w:rsid w:val="00810862"/>
    <w:rsid w:val="00816992"/>
    <w:rsid w:val="00816E88"/>
    <w:rsid w:val="008232F9"/>
    <w:rsid w:val="00831D7B"/>
    <w:rsid w:val="0083701B"/>
    <w:rsid w:val="0084524A"/>
    <w:rsid w:val="00845BD8"/>
    <w:rsid w:val="00854067"/>
    <w:rsid w:val="00855237"/>
    <w:rsid w:val="00860237"/>
    <w:rsid w:val="00860720"/>
    <w:rsid w:val="008715B0"/>
    <w:rsid w:val="0087715F"/>
    <w:rsid w:val="00884800"/>
    <w:rsid w:val="00892E4D"/>
    <w:rsid w:val="008955EA"/>
    <w:rsid w:val="0089760E"/>
    <w:rsid w:val="008A0582"/>
    <w:rsid w:val="008A31D4"/>
    <w:rsid w:val="008A60EC"/>
    <w:rsid w:val="008A74E0"/>
    <w:rsid w:val="008B31C2"/>
    <w:rsid w:val="008B3F39"/>
    <w:rsid w:val="008C4E00"/>
    <w:rsid w:val="008C5FE0"/>
    <w:rsid w:val="008F2F9A"/>
    <w:rsid w:val="008F2FF8"/>
    <w:rsid w:val="008F3CA9"/>
    <w:rsid w:val="008F6A32"/>
    <w:rsid w:val="00903EFF"/>
    <w:rsid w:val="009118D6"/>
    <w:rsid w:val="0091440C"/>
    <w:rsid w:val="00916C89"/>
    <w:rsid w:val="00921696"/>
    <w:rsid w:val="009228C7"/>
    <w:rsid w:val="00926287"/>
    <w:rsid w:val="00930830"/>
    <w:rsid w:val="00932FC5"/>
    <w:rsid w:val="009336B3"/>
    <w:rsid w:val="0094743F"/>
    <w:rsid w:val="009502E9"/>
    <w:rsid w:val="00950D9C"/>
    <w:rsid w:val="009560D7"/>
    <w:rsid w:val="00957EF2"/>
    <w:rsid w:val="00960890"/>
    <w:rsid w:val="00963DCD"/>
    <w:rsid w:val="00970124"/>
    <w:rsid w:val="00972285"/>
    <w:rsid w:val="00975D63"/>
    <w:rsid w:val="009807BA"/>
    <w:rsid w:val="009823DB"/>
    <w:rsid w:val="00982BEB"/>
    <w:rsid w:val="009848C7"/>
    <w:rsid w:val="00987145"/>
    <w:rsid w:val="009908AF"/>
    <w:rsid w:val="009936B5"/>
    <w:rsid w:val="009959BB"/>
    <w:rsid w:val="009A0AC9"/>
    <w:rsid w:val="009A1770"/>
    <w:rsid w:val="009B28BD"/>
    <w:rsid w:val="009C495B"/>
    <w:rsid w:val="009C6966"/>
    <w:rsid w:val="009D3CF4"/>
    <w:rsid w:val="009F194F"/>
    <w:rsid w:val="009F6860"/>
    <w:rsid w:val="009F6C8C"/>
    <w:rsid w:val="00A02CBC"/>
    <w:rsid w:val="00A06B9F"/>
    <w:rsid w:val="00A12852"/>
    <w:rsid w:val="00A16DB9"/>
    <w:rsid w:val="00A16E2C"/>
    <w:rsid w:val="00A17107"/>
    <w:rsid w:val="00A17784"/>
    <w:rsid w:val="00A200D6"/>
    <w:rsid w:val="00A21942"/>
    <w:rsid w:val="00A252E1"/>
    <w:rsid w:val="00A2648E"/>
    <w:rsid w:val="00A34BD1"/>
    <w:rsid w:val="00A354DB"/>
    <w:rsid w:val="00A36C2B"/>
    <w:rsid w:val="00A40DFE"/>
    <w:rsid w:val="00A40EE7"/>
    <w:rsid w:val="00A5049A"/>
    <w:rsid w:val="00A51370"/>
    <w:rsid w:val="00A5710E"/>
    <w:rsid w:val="00A62EF7"/>
    <w:rsid w:val="00A65305"/>
    <w:rsid w:val="00A71C5D"/>
    <w:rsid w:val="00A7377D"/>
    <w:rsid w:val="00A87CA8"/>
    <w:rsid w:val="00A937F1"/>
    <w:rsid w:val="00A978F8"/>
    <w:rsid w:val="00AA156A"/>
    <w:rsid w:val="00AB5DCD"/>
    <w:rsid w:val="00AB7748"/>
    <w:rsid w:val="00AC2BE2"/>
    <w:rsid w:val="00AC3A8D"/>
    <w:rsid w:val="00AD4AD0"/>
    <w:rsid w:val="00AE18F7"/>
    <w:rsid w:val="00AF15DD"/>
    <w:rsid w:val="00AF5D36"/>
    <w:rsid w:val="00B07E94"/>
    <w:rsid w:val="00B13FBD"/>
    <w:rsid w:val="00B23064"/>
    <w:rsid w:val="00B316F1"/>
    <w:rsid w:val="00B34B63"/>
    <w:rsid w:val="00B46A97"/>
    <w:rsid w:val="00B46D57"/>
    <w:rsid w:val="00B47006"/>
    <w:rsid w:val="00B475C7"/>
    <w:rsid w:val="00B50B53"/>
    <w:rsid w:val="00B53AD1"/>
    <w:rsid w:val="00B55B98"/>
    <w:rsid w:val="00B64EE3"/>
    <w:rsid w:val="00B674E9"/>
    <w:rsid w:val="00B73495"/>
    <w:rsid w:val="00B74E13"/>
    <w:rsid w:val="00B82F1F"/>
    <w:rsid w:val="00B83EFE"/>
    <w:rsid w:val="00B86044"/>
    <w:rsid w:val="00B87AA8"/>
    <w:rsid w:val="00B909AE"/>
    <w:rsid w:val="00B91C78"/>
    <w:rsid w:val="00B93441"/>
    <w:rsid w:val="00B9655E"/>
    <w:rsid w:val="00BA037D"/>
    <w:rsid w:val="00BA10EA"/>
    <w:rsid w:val="00BA2604"/>
    <w:rsid w:val="00BA3A7D"/>
    <w:rsid w:val="00BB01D7"/>
    <w:rsid w:val="00BC1897"/>
    <w:rsid w:val="00BC2F06"/>
    <w:rsid w:val="00BC3162"/>
    <w:rsid w:val="00BC4FA4"/>
    <w:rsid w:val="00BC72A3"/>
    <w:rsid w:val="00BC79C3"/>
    <w:rsid w:val="00BD0776"/>
    <w:rsid w:val="00BD2A59"/>
    <w:rsid w:val="00BD3B98"/>
    <w:rsid w:val="00BD5421"/>
    <w:rsid w:val="00BE5BEA"/>
    <w:rsid w:val="00BE6C87"/>
    <w:rsid w:val="00BE7ACE"/>
    <w:rsid w:val="00BF0A40"/>
    <w:rsid w:val="00BF4744"/>
    <w:rsid w:val="00C0231E"/>
    <w:rsid w:val="00C02A2C"/>
    <w:rsid w:val="00C05F8D"/>
    <w:rsid w:val="00C13C68"/>
    <w:rsid w:val="00C14757"/>
    <w:rsid w:val="00C23A49"/>
    <w:rsid w:val="00C2427A"/>
    <w:rsid w:val="00C2460B"/>
    <w:rsid w:val="00C25749"/>
    <w:rsid w:val="00C30E5D"/>
    <w:rsid w:val="00C31A90"/>
    <w:rsid w:val="00C34198"/>
    <w:rsid w:val="00C371F7"/>
    <w:rsid w:val="00C41394"/>
    <w:rsid w:val="00C42691"/>
    <w:rsid w:val="00C442ED"/>
    <w:rsid w:val="00C44D2E"/>
    <w:rsid w:val="00C50957"/>
    <w:rsid w:val="00C50AFC"/>
    <w:rsid w:val="00C53F29"/>
    <w:rsid w:val="00C57221"/>
    <w:rsid w:val="00C6155F"/>
    <w:rsid w:val="00C6643F"/>
    <w:rsid w:val="00C70977"/>
    <w:rsid w:val="00C72949"/>
    <w:rsid w:val="00C74289"/>
    <w:rsid w:val="00C82BE3"/>
    <w:rsid w:val="00C83891"/>
    <w:rsid w:val="00C862E5"/>
    <w:rsid w:val="00C915DC"/>
    <w:rsid w:val="00C92ED1"/>
    <w:rsid w:val="00C9323E"/>
    <w:rsid w:val="00C933D8"/>
    <w:rsid w:val="00CB1820"/>
    <w:rsid w:val="00CB77CC"/>
    <w:rsid w:val="00CD61C1"/>
    <w:rsid w:val="00CE1911"/>
    <w:rsid w:val="00CE4F32"/>
    <w:rsid w:val="00CE55F0"/>
    <w:rsid w:val="00CF6AD1"/>
    <w:rsid w:val="00D02B9B"/>
    <w:rsid w:val="00D03E0E"/>
    <w:rsid w:val="00D11508"/>
    <w:rsid w:val="00D16331"/>
    <w:rsid w:val="00D1729F"/>
    <w:rsid w:val="00D218FD"/>
    <w:rsid w:val="00D2539E"/>
    <w:rsid w:val="00D45D55"/>
    <w:rsid w:val="00D45F49"/>
    <w:rsid w:val="00D53658"/>
    <w:rsid w:val="00D57405"/>
    <w:rsid w:val="00D5746C"/>
    <w:rsid w:val="00D645D6"/>
    <w:rsid w:val="00D677B8"/>
    <w:rsid w:val="00D703EE"/>
    <w:rsid w:val="00D71A01"/>
    <w:rsid w:val="00D738BC"/>
    <w:rsid w:val="00D76E26"/>
    <w:rsid w:val="00D9365C"/>
    <w:rsid w:val="00D96483"/>
    <w:rsid w:val="00DA0D47"/>
    <w:rsid w:val="00DB084E"/>
    <w:rsid w:val="00DB11AD"/>
    <w:rsid w:val="00DB1274"/>
    <w:rsid w:val="00DB1790"/>
    <w:rsid w:val="00DB1E72"/>
    <w:rsid w:val="00DB5BE8"/>
    <w:rsid w:val="00DC12D2"/>
    <w:rsid w:val="00DC312A"/>
    <w:rsid w:val="00DD1207"/>
    <w:rsid w:val="00DF03DA"/>
    <w:rsid w:val="00E03A56"/>
    <w:rsid w:val="00E20D52"/>
    <w:rsid w:val="00E22423"/>
    <w:rsid w:val="00E243D5"/>
    <w:rsid w:val="00E2542D"/>
    <w:rsid w:val="00E25BBA"/>
    <w:rsid w:val="00E354A2"/>
    <w:rsid w:val="00E37353"/>
    <w:rsid w:val="00E41948"/>
    <w:rsid w:val="00E42D8C"/>
    <w:rsid w:val="00E528CA"/>
    <w:rsid w:val="00E7642A"/>
    <w:rsid w:val="00E76BA2"/>
    <w:rsid w:val="00E81A72"/>
    <w:rsid w:val="00E82C34"/>
    <w:rsid w:val="00E83180"/>
    <w:rsid w:val="00E93D29"/>
    <w:rsid w:val="00EA0C4E"/>
    <w:rsid w:val="00EA0DF6"/>
    <w:rsid w:val="00EA3996"/>
    <w:rsid w:val="00EA51F5"/>
    <w:rsid w:val="00EB6C8A"/>
    <w:rsid w:val="00EB76DD"/>
    <w:rsid w:val="00EC0059"/>
    <w:rsid w:val="00EC06A9"/>
    <w:rsid w:val="00EC17AA"/>
    <w:rsid w:val="00EC2B8E"/>
    <w:rsid w:val="00EC4958"/>
    <w:rsid w:val="00EC5690"/>
    <w:rsid w:val="00ED53E0"/>
    <w:rsid w:val="00ED72EA"/>
    <w:rsid w:val="00EE0EDC"/>
    <w:rsid w:val="00EE58AA"/>
    <w:rsid w:val="00EE5B4B"/>
    <w:rsid w:val="00EE5D46"/>
    <w:rsid w:val="00EE65A2"/>
    <w:rsid w:val="00EF278C"/>
    <w:rsid w:val="00EF346E"/>
    <w:rsid w:val="00EF6C7E"/>
    <w:rsid w:val="00EF7391"/>
    <w:rsid w:val="00F05003"/>
    <w:rsid w:val="00F06F31"/>
    <w:rsid w:val="00F131CD"/>
    <w:rsid w:val="00F137B4"/>
    <w:rsid w:val="00F246CE"/>
    <w:rsid w:val="00F33AA6"/>
    <w:rsid w:val="00F34BED"/>
    <w:rsid w:val="00F424E2"/>
    <w:rsid w:val="00F42F16"/>
    <w:rsid w:val="00F5005C"/>
    <w:rsid w:val="00F51201"/>
    <w:rsid w:val="00F53CB7"/>
    <w:rsid w:val="00F53EB3"/>
    <w:rsid w:val="00F81B90"/>
    <w:rsid w:val="00F86A61"/>
    <w:rsid w:val="00F9014B"/>
    <w:rsid w:val="00F91E5A"/>
    <w:rsid w:val="00F9201B"/>
    <w:rsid w:val="00F9265C"/>
    <w:rsid w:val="00F95B4C"/>
    <w:rsid w:val="00FA07E4"/>
    <w:rsid w:val="00FA75AA"/>
    <w:rsid w:val="00FA789A"/>
    <w:rsid w:val="00FB1A79"/>
    <w:rsid w:val="00FB50B5"/>
    <w:rsid w:val="00FB66DD"/>
    <w:rsid w:val="00FC051D"/>
    <w:rsid w:val="00FC2626"/>
    <w:rsid w:val="00FC7A82"/>
    <w:rsid w:val="00FD1610"/>
    <w:rsid w:val="00FD7649"/>
    <w:rsid w:val="00FE4150"/>
    <w:rsid w:val="00FF2F47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0B66"/>
  <w15:docId w15:val="{7870D647-2CF9-466A-B69B-E6A8F1F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7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Mario.Reveli</dc:creator>
  <cp:lastModifiedBy>Laura Lajthia</cp:lastModifiedBy>
  <cp:revision>3</cp:revision>
  <dcterms:created xsi:type="dcterms:W3CDTF">2025-09-08T07:31:00Z</dcterms:created>
  <dcterms:modified xsi:type="dcterms:W3CDTF">2025-09-08T12:30:00Z</dcterms:modified>
</cp:coreProperties>
</file>